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81054.xml.htm"/>
      <w:bookmarkStart w:id="1" w:name="ksform410022026_0810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REICIN ALISE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TECTONIC THERAPEUTIC,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490 ARSENAL 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Tectonic Therapeutic, Inc.</w:t>
              </w:r>
            </w:hyperlink>
            <w:r>
              <w:rPr/>
              <w:t xml:space="preserve"> [ </w:t>
            </w:r>
            <w:r>
              <w:rPr>
                <w:rFonts w:ascii="Times;serif" w:hAnsi="Times;serif"/>
                <w:color w:val="0000FF"/>
                <w:sz w:val="24"/>
                <w:shd w:fill="FFFFFF" w:val="clear"/>
              </w:rPr>
              <w:t>TECX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1,545</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23.67</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309,078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127,030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reported represents the withholding of shares by the Issuer to satisfy the Reporting Person's tax withholding obligations in connection with the vesting and settlement of the restricted stock units granted on September 25,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Reicin-Boiarsky Family Trust (the "Trust"). The Reporting Person's spouse is a co-trustee of the Trust. Accordingly, the Reporting Person may be deemed to have shared voting and dispositive power over the securities held by the Trust. The Reporting Person disclaims beneficial ownership of the shares held by the Trust except to the extent of her pecuniary interest therein, and this report shall not be deemed an admission that the Reporting Person is the beneficial owner of these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Lochner,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7533" TargetMode="External"/><Relationship Id="rId5" Type="http://schemas.openxmlformats.org/officeDocument/2006/relationships/hyperlink" Target="http://www.sec.gov/cgi-bin/browse-edgar?action=getcompany&amp;CIK=00016810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705</Words>
  <Characters>3835</Characters>
  <CharactersWithSpaces>4467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